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D3239F" w:rsidRDefault="009E2D34" w:rsidP="00F76D50">
            <w:r w:rsidRPr="00D3239F">
              <w:t>Naše zn.</w:t>
            </w:r>
          </w:p>
        </w:tc>
        <w:tc>
          <w:tcPr>
            <w:tcW w:w="2552" w:type="dxa"/>
          </w:tcPr>
          <w:p w14:paraId="31227BBD" w14:textId="2E5C85AA" w:rsidR="009E2D34" w:rsidRPr="00D3239F" w:rsidRDefault="006C70EE" w:rsidP="00F76D50">
            <w:r w:rsidRPr="00D3239F">
              <w:rPr>
                <w:rFonts w:ascii="Helvetica" w:hAnsi="Helvetica"/>
              </w:rPr>
              <w:t>10720/2023-SŽ-SSV-Ú3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D3239F" w:rsidRDefault="009E2D34" w:rsidP="00F76D50">
            <w:r w:rsidRPr="00D3239F">
              <w:t>Listů/příloh</w:t>
            </w:r>
          </w:p>
        </w:tc>
        <w:tc>
          <w:tcPr>
            <w:tcW w:w="2552" w:type="dxa"/>
          </w:tcPr>
          <w:p w14:paraId="4EC34D2D" w14:textId="3D0F70D8" w:rsidR="009E2D34" w:rsidRPr="00D3239F" w:rsidRDefault="006C70EE" w:rsidP="00F76D50">
            <w:r w:rsidRPr="00D3239F">
              <w:t>4</w:t>
            </w:r>
            <w:r w:rsidR="009E2D34" w:rsidRPr="00D3239F">
              <w:t>/</w:t>
            </w:r>
            <w:r w:rsidR="00D3239F" w:rsidRPr="00D3239F">
              <w:t>4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D3239F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666083DE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C70EE">
              <w:rPr>
                <w:noProof/>
              </w:rPr>
              <w:t>14.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70E5F1A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ED2EFE">
        <w:rPr>
          <w:rFonts w:eastAsia="Calibri" w:cs="Times New Roman"/>
          <w:lang w:eastAsia="cs-CZ"/>
        </w:rPr>
        <w:t>8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CEFA88" w14:textId="77777777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FDD6E59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CEEAE38" w14:textId="674C029B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B0CFF">
        <w:rPr>
          <w:rFonts w:eastAsia="Calibri" w:cs="Times New Roman"/>
          <w:b/>
          <w:lang w:eastAsia="cs-CZ"/>
        </w:rPr>
        <w:t>233</w:t>
      </w:r>
      <w:r w:rsidRPr="00BD5319">
        <w:rPr>
          <w:rFonts w:eastAsia="Calibri" w:cs="Times New Roman"/>
          <w:b/>
          <w:lang w:eastAsia="cs-CZ"/>
        </w:rPr>
        <w:t>:</w:t>
      </w:r>
    </w:p>
    <w:p w14:paraId="6E866623" w14:textId="448B3927" w:rsidR="00E33416" w:rsidRDefault="009B0CFF" w:rsidP="00E33416">
      <w:pPr>
        <w:spacing w:after="0" w:line="240" w:lineRule="auto"/>
        <w:jc w:val="both"/>
        <w:rPr>
          <w:b/>
          <w:bCs/>
          <w:i/>
          <w:iCs/>
        </w:rPr>
      </w:pPr>
      <w:r w:rsidRPr="009B0CFF">
        <w:rPr>
          <w:b/>
          <w:bCs/>
        </w:rPr>
        <w:t xml:space="preserve">PS </w:t>
      </w:r>
      <w:bookmarkStart w:id="1" w:name="_Hlk145499088"/>
      <w:r w:rsidRPr="009B0CFF">
        <w:rPr>
          <w:b/>
          <w:bCs/>
        </w:rPr>
        <w:t>11-21-01 (ŽST Přibyslav, SZZ)</w:t>
      </w:r>
      <w:bookmarkEnd w:id="1"/>
      <w:r w:rsidRPr="009B0CFF">
        <w:rPr>
          <w:b/>
          <w:bCs/>
        </w:rPr>
        <w:t xml:space="preserve">: </w:t>
      </w:r>
      <w:r w:rsidRPr="009B0CFF">
        <w:rPr>
          <w:bCs/>
        </w:rPr>
        <w:t xml:space="preserve"> Zadavatel v rámci „Vysvětlení/ změna/ doplnění zadávací dokumentace č. 4“ dle odpovědi na dotaz č. 130 přidal do soupisu prací položky č. 98 a 102 pro dodávku a montáž volné vazby (1ks). V rámci „Vysvětlení/ změna/ doplnění zadávací dokumentace č. 6“ zadavatel navýšil množství u těchto položek na 2ks. Pro toto navýšení jsme v dodatku č. 6 nenalezli odpovídající vysvětlení. Prosíme zadavatele o zdůvodnění množství 2ks u uvedených položek</w:t>
      </w:r>
      <w:r>
        <w:rPr>
          <w:bCs/>
        </w:rPr>
        <w:t xml:space="preserve">. </w:t>
      </w:r>
    </w:p>
    <w:p w14:paraId="41F9F006" w14:textId="08A9A0B1" w:rsidR="007F2676" w:rsidRPr="009174E4" w:rsidRDefault="007F2676" w:rsidP="00E3341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7FB1949" w14:textId="624D9952" w:rsidR="00761AD2" w:rsidRPr="00547EE5" w:rsidRDefault="00761AD2" w:rsidP="00761AD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47EE5">
        <w:rPr>
          <w:rFonts w:eastAsia="Calibri" w:cs="Times New Roman"/>
          <w:bCs/>
          <w:lang w:eastAsia="cs-CZ"/>
        </w:rPr>
        <w:t xml:space="preserve">Navýšení bylo doplněno na základě odpovědi č. 129+130. Jedna skříň pro směr Sázava u Žďáru a jedna skříň pro směr Pohled. Přezkoušení autobloku je pro směr Pohled součásti tohoto PS </w:t>
      </w:r>
      <w:r w:rsidR="007D4A63" w:rsidRPr="00547EE5">
        <w:rPr>
          <w:rFonts w:eastAsia="Calibri" w:cs="Times New Roman"/>
          <w:bCs/>
          <w:lang w:eastAsia="cs-CZ"/>
        </w:rPr>
        <w:t xml:space="preserve">11-21-01 (ŽST Přibyslav, SZZ) </w:t>
      </w:r>
      <w:r w:rsidRPr="00547EE5">
        <w:rPr>
          <w:rFonts w:eastAsia="Calibri" w:cs="Times New Roman"/>
          <w:bCs/>
          <w:lang w:eastAsia="cs-CZ"/>
        </w:rPr>
        <w:t>(2 ks), přezkoušení pro směr Sázava u Žďáru v PS 11-21-02 (4 ks).</w:t>
      </w:r>
    </w:p>
    <w:p w14:paraId="5C0B2C39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3AC5CE0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673D2DD" w14:textId="796F695C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</w:t>
      </w:r>
      <w:r w:rsidR="009B0CFF">
        <w:rPr>
          <w:rFonts w:eastAsia="Calibri" w:cs="Times New Roman"/>
          <w:b/>
          <w:lang w:eastAsia="cs-CZ"/>
        </w:rPr>
        <w:t>34</w:t>
      </w:r>
      <w:r w:rsidRPr="00BD5319">
        <w:rPr>
          <w:rFonts w:eastAsia="Calibri" w:cs="Times New Roman"/>
          <w:b/>
          <w:lang w:eastAsia="cs-CZ"/>
        </w:rPr>
        <w:t>:</w:t>
      </w:r>
    </w:p>
    <w:p w14:paraId="5C159054" w14:textId="45576359" w:rsidR="00E33416" w:rsidRPr="00E33416" w:rsidRDefault="009B0CFF" w:rsidP="009B0CFF">
      <w:pPr>
        <w:spacing w:after="0" w:line="240" w:lineRule="auto"/>
        <w:jc w:val="both"/>
        <w:rPr>
          <w:b/>
          <w:bCs/>
          <w:i/>
          <w:iCs/>
        </w:rPr>
      </w:pPr>
      <w:r w:rsidRPr="009B0CFF">
        <w:rPr>
          <w:b/>
          <w:bCs/>
        </w:rPr>
        <w:t xml:space="preserve">PS 12-21-01 (Přibyslav - Pohled, TZZ): </w:t>
      </w:r>
      <w:r w:rsidRPr="009B0CFF">
        <w:rPr>
          <w:bCs/>
        </w:rPr>
        <w:t xml:space="preserve"> Návaznost na odpovědi zadavatele na dotazy č. 32 a 181. V soupisu prací se stále nachází u pol. č. 21 (STOŽÁROVÉ NÁVĚSTIDLO TŘÍSVĚTLOVÉ – DODÁVKA) množství 12ks a u pol. č. 26 (STOŽÁROVÉ NÁVĚSTIDLO TŘÍSVĚTLOVÉ – MONTÁŽ) množství 16ks. Dle situačního schématu se předpokládá vybudování celkem 8ks těchto návěstidel v trati. Prosíme zadavatele o prověření a opravu množství u pol. č. 21 a 26</w:t>
      </w:r>
      <w:r w:rsidR="005316F4">
        <w:rPr>
          <w:bCs/>
        </w:rPr>
        <w:t>.</w:t>
      </w:r>
    </w:p>
    <w:p w14:paraId="05C12467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C7D8D55" w14:textId="55FFC8F6" w:rsidR="00F007C8" w:rsidRPr="00AC7D25" w:rsidRDefault="00F007C8" w:rsidP="00F007C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C7D25">
        <w:rPr>
          <w:rFonts w:eastAsia="Calibri" w:cs="Times New Roman"/>
          <w:bCs/>
          <w:lang w:eastAsia="cs-CZ"/>
        </w:rPr>
        <w:t xml:space="preserve">Po prověření jsou aktuálně v soupise prací obě položky opraveny. Položka č. 21 upravena </w:t>
      </w:r>
      <w:r w:rsidR="007D4A63" w:rsidRPr="00AC7D25">
        <w:rPr>
          <w:rFonts w:eastAsia="Calibri" w:cs="Times New Roman"/>
          <w:bCs/>
          <w:lang w:eastAsia="cs-CZ"/>
        </w:rPr>
        <w:br/>
      </w:r>
      <w:r w:rsidRPr="00AC7D25">
        <w:rPr>
          <w:rFonts w:eastAsia="Calibri" w:cs="Times New Roman"/>
          <w:bCs/>
          <w:lang w:eastAsia="cs-CZ"/>
        </w:rPr>
        <w:t xml:space="preserve">na 8 KUSŮ. Rovněž položka č. 26 upravena na 8 KUSŮ.    </w:t>
      </w:r>
    </w:p>
    <w:p w14:paraId="5326A758" w14:textId="77777777" w:rsidR="007F2676" w:rsidRPr="00343B92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4D2DDC5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89282F1" w14:textId="772DDBF3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</w:t>
      </w:r>
      <w:r w:rsidR="009B0CFF">
        <w:rPr>
          <w:rFonts w:eastAsia="Calibri" w:cs="Times New Roman"/>
          <w:b/>
          <w:lang w:eastAsia="cs-CZ"/>
        </w:rPr>
        <w:t>35</w:t>
      </w:r>
      <w:r w:rsidRPr="00BD5319">
        <w:rPr>
          <w:rFonts w:eastAsia="Calibri" w:cs="Times New Roman"/>
          <w:b/>
          <w:lang w:eastAsia="cs-CZ"/>
        </w:rPr>
        <w:t>:</w:t>
      </w:r>
    </w:p>
    <w:p w14:paraId="3AEE1D8F" w14:textId="36C8ACA8" w:rsidR="000B5F46" w:rsidRDefault="009B0CFF" w:rsidP="009B0CFF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9B0CFF">
        <w:rPr>
          <w:rFonts w:eastAsia="Calibri" w:cs="Times New Roman"/>
          <w:b/>
          <w:bCs/>
          <w:lang w:eastAsia="cs-CZ"/>
        </w:rPr>
        <w:t xml:space="preserve">PS 12-21-01 (Přibyslav - Pohled, TZZ) : </w:t>
      </w:r>
      <w:r w:rsidRPr="009B0CFF">
        <w:rPr>
          <w:rFonts w:eastAsia="Calibri" w:cs="Times New Roman"/>
          <w:bCs/>
          <w:lang w:eastAsia="cs-CZ"/>
        </w:rPr>
        <w:t>Zadavatel v rámci odpovědi na dotaz č. 188 neuvedl bližší informace k rozměrům požadovaného betonového žlabu. V příloze č. 2.107 „Uložení kabelů - řezů“ jsou uvedeny různé případy pro uložení kabelizace, ale nejsou zde uvedeny požadavky na velikost kabelového žlabu. Vzhledem k velkému množství u předmětné pol. č. 15 „KABELOVÝ ŽLAB ZEMNÍ VČETNĚ KRYTU SVĚTLÉ ŠÍŘKY PŘES 250 MM“ – 668m je pro relevantní ocenění třeba znalost alespoň maximálních rozměrů (maximální limit) požadovaného betonového žlabu (výška, šířka). Prosíme zadavatele o specifikaci maximální výšky a šířky pro požadovaný žlab/požadovanou položku.</w:t>
      </w:r>
      <w:r w:rsidR="000B5F46" w:rsidRPr="000B5F46">
        <w:rPr>
          <w:rFonts w:eastAsia="Calibri" w:cs="Times New Roman"/>
          <w:bCs/>
          <w:lang w:eastAsia="cs-CZ"/>
        </w:rPr>
        <w:t xml:space="preserve"> </w:t>
      </w:r>
    </w:p>
    <w:p w14:paraId="4360BD33" w14:textId="74008C72" w:rsidR="007F2676" w:rsidRPr="009174E4" w:rsidRDefault="007D4A63" w:rsidP="000B5F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7F2676" w:rsidRPr="009174E4">
        <w:rPr>
          <w:rFonts w:eastAsia="Calibri" w:cs="Times New Roman"/>
          <w:b/>
          <w:lang w:eastAsia="cs-CZ"/>
        </w:rPr>
        <w:t xml:space="preserve">Odpověď: </w:t>
      </w:r>
    </w:p>
    <w:p w14:paraId="3803737E" w14:textId="77777777" w:rsidR="00F007C8" w:rsidRPr="00AC7D25" w:rsidRDefault="00F007C8" w:rsidP="00F007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7D25">
        <w:rPr>
          <w:rFonts w:eastAsia="Calibri" w:cs="Times New Roman"/>
          <w:bCs/>
          <w:lang w:eastAsia="cs-CZ"/>
        </w:rPr>
        <w:t xml:space="preserve">Přesný typ kabelového žlabu není možné v dokumentaci PDPS uvádět. Určí jej realizační dokumentace na základě potřebných počtů kabelů. Předpokládá se použití zavedených žlabů.  </w:t>
      </w:r>
    </w:p>
    <w:p w14:paraId="77728C0D" w14:textId="77777777" w:rsidR="00F007C8" w:rsidRPr="00AC7D25" w:rsidRDefault="00F007C8" w:rsidP="00F007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7D25">
        <w:rPr>
          <w:rFonts w:eastAsia="Calibri" w:cs="Times New Roman"/>
          <w:bCs/>
          <w:lang w:eastAsia="cs-CZ"/>
        </w:rPr>
        <w:t>Je na zhotoviteli, jakou kabelizaci je potřeba k jeho, konkrétnímu zařízení použitému v realizační dokumentaci, použít. Projektant předpokládá maximální rozměr žlabu 35x30 cm.</w:t>
      </w:r>
    </w:p>
    <w:p w14:paraId="50ACFF1B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7C39025" w14:textId="5418EAF2" w:rsidR="007F2676" w:rsidRDefault="005316F4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7F2676"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</w:t>
      </w:r>
      <w:r w:rsidR="009B0CFF">
        <w:rPr>
          <w:rFonts w:eastAsia="Calibri" w:cs="Times New Roman"/>
          <w:b/>
          <w:lang w:eastAsia="cs-CZ"/>
        </w:rPr>
        <w:t>36</w:t>
      </w:r>
      <w:r w:rsidR="007F2676" w:rsidRPr="00BD5319">
        <w:rPr>
          <w:rFonts w:eastAsia="Calibri" w:cs="Times New Roman"/>
          <w:b/>
          <w:lang w:eastAsia="cs-CZ"/>
        </w:rPr>
        <w:t>:</w:t>
      </w:r>
    </w:p>
    <w:p w14:paraId="1DB0CFE8" w14:textId="3DA8BF49" w:rsidR="009B0CFF" w:rsidRPr="009B0CFF" w:rsidRDefault="009B0CFF" w:rsidP="009B0CFF">
      <w:pPr>
        <w:spacing w:after="0" w:line="252" w:lineRule="auto"/>
        <w:rPr>
          <w:rFonts w:cstheme="minorHAnsi"/>
        </w:rPr>
      </w:pPr>
      <w:r w:rsidRPr="009B0CFF">
        <w:rPr>
          <w:rFonts w:cstheme="minorHAnsi"/>
          <w:b/>
        </w:rPr>
        <w:t>PS 13-21-01.1 (ŽST Pohled, provizorní SZZ) :</w:t>
      </w:r>
      <w:r w:rsidRPr="009B0CFF">
        <w:rPr>
          <w:rFonts w:cstheme="minorHAnsi"/>
        </w:rPr>
        <w:t xml:space="preserve"> Zadavatel v rámci odpovědi na dotaz č. 191 doplnil výkres (příloha č. 2.502) o rozměry provizorních stanovišť výhybkářů:</w:t>
      </w:r>
    </w:p>
    <w:p w14:paraId="2FF164C5" w14:textId="0051BEA3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  <w:r>
        <w:rPr>
          <w:rFonts w:cstheme="minorHAnsi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5A8FF3C8" wp14:editId="10A8A245">
            <wp:simplePos x="0" y="0"/>
            <wp:positionH relativeFrom="column">
              <wp:posOffset>-200025</wp:posOffset>
            </wp:positionH>
            <wp:positionV relativeFrom="paragraph">
              <wp:posOffset>67945</wp:posOffset>
            </wp:positionV>
            <wp:extent cx="2736215" cy="3095625"/>
            <wp:effectExtent l="0" t="0" r="6985" b="9525"/>
            <wp:wrapNone/>
            <wp:docPr id="12047126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15" cy="309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841F8D" w14:textId="5B0B26C4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  <w:r w:rsidRPr="008A0DF1">
        <w:rPr>
          <w:rFonts w:cstheme="minorHAnsi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0A4ADB04" wp14:editId="3BE388CA">
            <wp:simplePos x="0" y="0"/>
            <wp:positionH relativeFrom="column">
              <wp:posOffset>2714625</wp:posOffset>
            </wp:positionH>
            <wp:positionV relativeFrom="paragraph">
              <wp:posOffset>154940</wp:posOffset>
            </wp:positionV>
            <wp:extent cx="2733675" cy="2708256"/>
            <wp:effectExtent l="0" t="0" r="0" b="0"/>
            <wp:wrapNone/>
            <wp:docPr id="1502138111" name="Obrázek 1502138111" descr="Obsah obrázku text, diagram, Technický výkres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138111" name="Obrázek 1502138111" descr="Obsah obrázku text, diagram, Technický výkres, Plán&#10;&#10;Popis byl vytvořen automaticky"/>
                    <pic:cNvPicPr/>
                  </pic:nvPicPr>
                  <pic:blipFill>
                    <a:blip r:embed="rId13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708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DB56E4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6AB5EC40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78877E0B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4692A7CC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3E6A0788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24EBFA88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1F5C8037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7C8B6E87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303E13C6" w14:textId="77777777" w:rsidR="009B0CFF" w:rsidRDefault="009B0CFF" w:rsidP="009B0CFF">
      <w:pPr>
        <w:spacing w:line="252" w:lineRule="auto"/>
        <w:rPr>
          <w:rFonts w:cstheme="minorHAnsi"/>
          <w:noProof/>
          <w:lang w:eastAsia="cs-CZ"/>
        </w:rPr>
      </w:pPr>
    </w:p>
    <w:p w14:paraId="5B10D43D" w14:textId="77777777" w:rsidR="009B0CFF" w:rsidRDefault="009B0CFF" w:rsidP="009B0CFF">
      <w:pPr>
        <w:spacing w:after="0" w:line="240" w:lineRule="auto"/>
        <w:jc w:val="both"/>
        <w:rPr>
          <w:rFonts w:cstheme="minorHAnsi"/>
          <w:noProof/>
          <w:lang w:eastAsia="cs-CZ"/>
        </w:rPr>
      </w:pPr>
      <w:r w:rsidRPr="008A0DF1">
        <w:rPr>
          <w:rFonts w:cstheme="minorHAnsi"/>
          <w:noProof/>
          <w:lang w:eastAsia="cs-CZ"/>
        </w:rPr>
        <w:t>Zadavatel požaduje zřízení 2 stanovišť/kontejnerů výhybkářů o rozměrech 7,4 x 5 m. Domníváme se, že jsou pro tyto účely dostačující kontejnery o rozměrech 6 x 3 m. Chápeme správně, že ve výkese uvedené rozměry jsou maximálními rozměry pro tato stanoviště? Připustí zadavatel pro tyto účely použití i menších kontejnerů splňujících požadavky na uvedené vybavení? Prosíme zadavatele o prověření/vys</w:t>
      </w:r>
      <w:r>
        <w:rPr>
          <w:rFonts w:cstheme="minorHAnsi"/>
          <w:noProof/>
          <w:lang w:eastAsia="cs-CZ"/>
        </w:rPr>
        <w:t>větlení.</w:t>
      </w:r>
    </w:p>
    <w:p w14:paraId="1F98C247" w14:textId="23039250" w:rsidR="007F2676" w:rsidRPr="009174E4" w:rsidRDefault="007F2676" w:rsidP="009B0CF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AC3EAD4" w14:textId="062B713B" w:rsidR="00761AD2" w:rsidRPr="00AC7D25" w:rsidRDefault="00761AD2" w:rsidP="00761AD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7D25">
        <w:rPr>
          <w:rFonts w:eastAsia="Calibri" w:cs="Times New Roman"/>
          <w:bCs/>
          <w:lang w:eastAsia="cs-CZ"/>
        </w:rPr>
        <w:t xml:space="preserve">Bylo prověřeno a potřebné zařízení pro vybavení stanovišť/kontejnerů výhybkářů lze umístit </w:t>
      </w:r>
      <w:r w:rsidR="007D4A63" w:rsidRPr="00AC7D25">
        <w:rPr>
          <w:rFonts w:eastAsia="Calibri" w:cs="Times New Roman"/>
          <w:bCs/>
          <w:lang w:eastAsia="cs-CZ"/>
        </w:rPr>
        <w:br/>
      </w:r>
      <w:r w:rsidRPr="00AC7D25">
        <w:rPr>
          <w:rFonts w:eastAsia="Calibri" w:cs="Times New Roman"/>
          <w:bCs/>
          <w:lang w:eastAsia="cs-CZ"/>
        </w:rPr>
        <w:t>i do kontejneru o menších rozměr</w:t>
      </w:r>
      <w:r w:rsidR="00AC7D25" w:rsidRPr="00AC7D25">
        <w:rPr>
          <w:rFonts w:eastAsia="Calibri" w:cs="Times New Roman"/>
          <w:bCs/>
          <w:lang w:eastAsia="cs-CZ"/>
        </w:rPr>
        <w:t>ech</w:t>
      </w:r>
      <w:r w:rsidRPr="00AC7D25">
        <w:rPr>
          <w:rFonts w:eastAsia="Calibri" w:cs="Times New Roman"/>
          <w:bCs/>
          <w:lang w:eastAsia="cs-CZ"/>
        </w:rPr>
        <w:t>, než je v dokumentaci uváděno (7,4x5m). Uvedený rozměr je tedy maximální pro tato stanoviště.</w:t>
      </w:r>
    </w:p>
    <w:p w14:paraId="4185C91F" w14:textId="63AC187F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BAC556C" w14:textId="77777777" w:rsidR="007D4A63" w:rsidRDefault="007D4A63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23404D" w14:textId="4C38D767" w:rsidR="007C35BC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237</w:t>
      </w:r>
      <w:r w:rsidRPr="00BD5319">
        <w:rPr>
          <w:rFonts w:eastAsia="Calibri" w:cs="Times New Roman"/>
          <w:b/>
          <w:lang w:eastAsia="cs-CZ"/>
        </w:rPr>
        <w:t>:</w:t>
      </w:r>
    </w:p>
    <w:p w14:paraId="590E3DDF" w14:textId="673FDA9B" w:rsidR="007C35BC" w:rsidRPr="007C35BC" w:rsidRDefault="007C35BC" w:rsidP="007C35BC">
      <w:pPr>
        <w:spacing w:after="0" w:line="240" w:lineRule="auto"/>
        <w:jc w:val="both"/>
        <w:rPr>
          <w:rFonts w:cs="Arial"/>
          <w:bCs/>
          <w:color w:val="000000"/>
        </w:rPr>
      </w:pPr>
      <w:r w:rsidRPr="007C35BC">
        <w:rPr>
          <w:rFonts w:cs="Arial"/>
          <w:bCs/>
          <w:color w:val="000000"/>
        </w:rPr>
        <w:t xml:space="preserve">Zadavatelem postoupená dokumentace – výkaz výměr ke </w:t>
      </w:r>
      <w:r w:rsidRPr="007C35BC">
        <w:rPr>
          <w:rFonts w:cs="Arial"/>
          <w:b/>
          <w:color w:val="000000"/>
        </w:rPr>
        <w:t>SO 12-10-01 Přibyslav – Pohled, železniční svršek</w:t>
      </w:r>
      <w:r w:rsidRPr="007C35BC">
        <w:rPr>
          <w:rFonts w:cs="Arial"/>
          <w:bCs/>
          <w:color w:val="000000"/>
        </w:rPr>
        <w:t xml:space="preserve"> obsahuje tyto položky: </w:t>
      </w:r>
    </w:p>
    <w:p w14:paraId="12686FCD" w14:textId="77777777" w:rsidR="007C35BC" w:rsidRPr="007C35BC" w:rsidRDefault="007C35BC" w:rsidP="007C35BC">
      <w:pPr>
        <w:spacing w:after="0" w:line="240" w:lineRule="auto"/>
        <w:jc w:val="both"/>
        <w:rPr>
          <w:rFonts w:cs="Arial"/>
          <w:bCs/>
          <w:color w:val="000000"/>
        </w:rPr>
      </w:pPr>
      <w:r w:rsidRPr="007C35BC">
        <w:rPr>
          <w:rFonts w:cs="Arial"/>
          <w:bCs/>
          <w:color w:val="000000"/>
        </w:rPr>
        <w:t xml:space="preserve">pol.č.21 „BOURÁNÍ KONSTRUKCÍ Z BETON DÍLCŮ - BEZ DOPRAVY“ ve výměře 1.530 M3 a na ní navazující </w:t>
      </w:r>
    </w:p>
    <w:p w14:paraId="4B95D281" w14:textId="77777777" w:rsidR="007C35BC" w:rsidRPr="007C35BC" w:rsidRDefault="007C35BC" w:rsidP="007C35BC">
      <w:pPr>
        <w:spacing w:after="0" w:line="240" w:lineRule="auto"/>
        <w:jc w:val="both"/>
        <w:rPr>
          <w:rFonts w:cs="Arial"/>
          <w:bCs/>
          <w:color w:val="000000"/>
        </w:rPr>
      </w:pPr>
      <w:r w:rsidRPr="007C35BC">
        <w:rPr>
          <w:rFonts w:cs="Arial"/>
          <w:bCs/>
          <w:color w:val="000000"/>
        </w:rPr>
        <w:t>pol.č.22 BOURÁNÍ KONSTRUKCÍ Z BETONOVÝCH DÍLCŮ – DOPRAVA.</w:t>
      </w:r>
    </w:p>
    <w:p w14:paraId="4DB98032" w14:textId="77777777" w:rsidR="007C35BC" w:rsidRPr="007C35BC" w:rsidRDefault="007C35BC" w:rsidP="007C35BC">
      <w:pPr>
        <w:spacing w:after="0" w:line="240" w:lineRule="auto"/>
        <w:jc w:val="both"/>
        <w:rPr>
          <w:rFonts w:cs="Arial"/>
          <w:bCs/>
          <w:color w:val="000000"/>
        </w:rPr>
      </w:pPr>
      <w:r w:rsidRPr="007C35BC">
        <w:rPr>
          <w:rFonts w:cs="Arial"/>
          <w:bCs/>
          <w:color w:val="000000"/>
        </w:rPr>
        <w:t>Z popisu položky ani z dalších částí zadávací dokumentace není zřejmé, k jakému bourání se tyto práce vztahují.</w:t>
      </w:r>
    </w:p>
    <w:p w14:paraId="303BCEDE" w14:textId="7DAD44F1" w:rsidR="007C35BC" w:rsidRPr="007C35BC" w:rsidRDefault="007C35BC" w:rsidP="007C35BC">
      <w:pPr>
        <w:spacing w:after="0" w:line="240" w:lineRule="auto"/>
        <w:jc w:val="both"/>
        <w:rPr>
          <w:rFonts w:cs="Arial"/>
          <w:b/>
          <w:i/>
          <w:iCs/>
          <w:color w:val="000000"/>
        </w:rPr>
      </w:pPr>
      <w:r>
        <w:rPr>
          <w:rFonts w:cs="Arial"/>
          <w:b/>
          <w:i/>
          <w:iCs/>
          <w:color w:val="000000"/>
        </w:rPr>
        <w:t>Ž</w:t>
      </w:r>
      <w:r w:rsidRPr="007C35BC">
        <w:rPr>
          <w:rFonts w:cs="Arial"/>
          <w:b/>
          <w:i/>
          <w:iCs/>
          <w:color w:val="000000"/>
        </w:rPr>
        <w:t>ádáme zadavatele o vysvětlení a případné doplnění zadávací dokumentace.</w:t>
      </w:r>
    </w:p>
    <w:p w14:paraId="6DD8EB95" w14:textId="6B8D8BDF" w:rsidR="007C35BC" w:rsidRPr="009174E4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092526E" w14:textId="1A633FC5" w:rsidR="00B92B72" w:rsidRPr="00E573FB" w:rsidRDefault="007E76CC" w:rsidP="00B92B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73FB">
        <w:rPr>
          <w:rFonts w:eastAsia="Calibri" w:cs="Times New Roman"/>
          <w:bCs/>
          <w:lang w:eastAsia="cs-CZ"/>
        </w:rPr>
        <w:t xml:space="preserve">Po prověření jsou aktuálně v soupise prací provedeny následující úpravy: </w:t>
      </w:r>
      <w:r w:rsidR="00B92B72" w:rsidRPr="00E573FB">
        <w:rPr>
          <w:rFonts w:eastAsia="Calibri" w:cs="Times New Roman"/>
          <w:bCs/>
          <w:lang w:eastAsia="cs-CZ"/>
        </w:rPr>
        <w:t>Položky č. 21 BOURÁNÍ KONSTRUKCÍ Z BETON DÍLCŮ – BEZ DOPRAVY a č. 22 BOURÁNÍ KONSTRUKCÍ Z BETONOVÝCH DÍLCŮ – DOPRAVA byly odebrány ze soupisu prací SO 12-10-01 a přesunuty do soupisu prací SO 12-11-01 jako položky č. 44 a 45. Do položky č. 44 byla přidána specifikace položky: drobné demolice, vypočteno plocha v řezu krát délka; odvodňovací tvárnice, betonové patky návěstí, betonové zbytky kolem trati.</w:t>
      </w:r>
    </w:p>
    <w:p w14:paraId="35D2B222" w14:textId="5A5456C9" w:rsidR="007C35BC" w:rsidRPr="00343B92" w:rsidRDefault="007C35BC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C57B4AD" w14:textId="2FAB0572" w:rsidR="002B1747" w:rsidRDefault="002B1747" w:rsidP="002B1747">
      <w:pPr>
        <w:spacing w:after="0" w:line="240" w:lineRule="auto"/>
        <w:rPr>
          <w:rFonts w:eastAsia="Times New Roman" w:cs="Times New Roman"/>
          <w:lang w:eastAsia="cs-CZ"/>
        </w:rPr>
      </w:pPr>
    </w:p>
    <w:p w14:paraId="3AD26754" w14:textId="6C6AABA3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53476D2C" w14:textId="6CB51EC4" w:rsidR="00B92B72" w:rsidRDefault="00B92B72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B6A31D9" w14:textId="77777777" w:rsidR="00B92B72" w:rsidRDefault="00B92B72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AAF8666" w14:textId="590A24F7" w:rsidR="007C35BC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238</w:t>
      </w:r>
      <w:r w:rsidRPr="00BD5319">
        <w:rPr>
          <w:rFonts w:eastAsia="Calibri" w:cs="Times New Roman"/>
          <w:b/>
          <w:lang w:eastAsia="cs-CZ"/>
        </w:rPr>
        <w:t>:</w:t>
      </w:r>
    </w:p>
    <w:p w14:paraId="0967E5E2" w14:textId="77777777" w:rsidR="00AF7E92" w:rsidRPr="00AF7E92" w:rsidRDefault="00AF7E92" w:rsidP="00AF7E92">
      <w:pPr>
        <w:spacing w:after="0" w:line="240" w:lineRule="auto"/>
        <w:jc w:val="both"/>
        <w:rPr>
          <w:bCs/>
        </w:rPr>
      </w:pPr>
      <w:r w:rsidRPr="00AF7E92">
        <w:rPr>
          <w:bCs/>
        </w:rPr>
        <w:t>Ze zadavatelem postoupené dokumentace k části objektů železničního svršku vyplývá, že součástí dodávky zhotovitele je i následná úprava směrového a výškového uspořádání koleje.</w:t>
      </w:r>
    </w:p>
    <w:p w14:paraId="71EAC3B3" w14:textId="77777777" w:rsidR="00AF7E92" w:rsidRPr="00AF7E92" w:rsidRDefault="00AF7E92" w:rsidP="00AF7E92">
      <w:pPr>
        <w:spacing w:after="0" w:line="240" w:lineRule="auto"/>
        <w:jc w:val="both"/>
        <w:rPr>
          <w:bCs/>
        </w:rPr>
      </w:pPr>
      <w:r w:rsidRPr="00AF7E92">
        <w:rPr>
          <w:bCs/>
        </w:rPr>
        <w:t xml:space="preserve">V soupisu prací </w:t>
      </w:r>
      <w:r w:rsidRPr="00AF7E92">
        <w:rPr>
          <w:b/>
          <w:bCs/>
        </w:rPr>
        <w:t>SO 11-10-01 ŽST Přibyslav, železniční svršek</w:t>
      </w:r>
      <w:r w:rsidRPr="00AF7E92">
        <w:rPr>
          <w:bCs/>
        </w:rPr>
        <w:t xml:space="preserve"> a </w:t>
      </w:r>
      <w:r w:rsidRPr="00AF7E92">
        <w:rPr>
          <w:b/>
          <w:bCs/>
        </w:rPr>
        <w:t>SO 13-10-01 ŽST Pohled, železniční svršek</w:t>
      </w:r>
      <w:r w:rsidRPr="00AF7E92">
        <w:rPr>
          <w:bCs/>
        </w:rPr>
        <w:t xml:space="preserve"> jsou tyto položky uvedeny:</w:t>
      </w:r>
    </w:p>
    <w:p w14:paraId="5662977F" w14:textId="77777777" w:rsidR="00AF7E92" w:rsidRPr="00AF7E92" w:rsidRDefault="00AF7E92" w:rsidP="00AF7E92">
      <w:pPr>
        <w:spacing w:after="0" w:line="240" w:lineRule="auto"/>
        <w:jc w:val="both"/>
        <w:rPr>
          <w:bCs/>
        </w:rPr>
      </w:pPr>
      <w:r w:rsidRPr="00AF7E92">
        <w:rPr>
          <w:bCs/>
        </w:rPr>
        <w:t>NÁSLEDNÁ ÚPRAVA SMĚROVÉHO A VÝŠKOVÉHO USPOŘÁDÁNÍ KOLEJE - PRAŽCE BETONOVÉ a NÁSLEDNÁ ÚPRAVA SMĚROVÉHO A VÝŠKOVÉHO USPOŘÁDÁNÍ VÝHYBKOVÉ KONSTRUKCE - PRAŽCE BETONOVÉ.</w:t>
      </w:r>
    </w:p>
    <w:p w14:paraId="1F5ACB84" w14:textId="77777777" w:rsidR="00AF7E92" w:rsidRPr="00AF7E92" w:rsidRDefault="00AF7E92" w:rsidP="00AF7E92">
      <w:pPr>
        <w:spacing w:after="0" w:line="240" w:lineRule="auto"/>
        <w:jc w:val="both"/>
        <w:rPr>
          <w:bCs/>
        </w:rPr>
      </w:pPr>
      <w:r w:rsidRPr="00AF7E92">
        <w:rPr>
          <w:bCs/>
        </w:rPr>
        <w:t xml:space="preserve">V soupisu prací </w:t>
      </w:r>
      <w:r w:rsidRPr="00AF7E92">
        <w:rPr>
          <w:b/>
          <w:bCs/>
        </w:rPr>
        <w:t>SO 12-10-01 Přibyslav - Pohled, železniční svršek</w:t>
      </w:r>
      <w:r w:rsidRPr="00AF7E92">
        <w:rPr>
          <w:bCs/>
        </w:rPr>
        <w:t xml:space="preserve"> však žádná položka na provedení těchto prací uvedena není.</w:t>
      </w:r>
    </w:p>
    <w:p w14:paraId="3AC3DF21" w14:textId="21340353" w:rsidR="007C35BC" w:rsidRPr="00E33416" w:rsidRDefault="00AF7E92" w:rsidP="00AF7E92">
      <w:pPr>
        <w:spacing w:after="0" w:line="240" w:lineRule="auto"/>
        <w:jc w:val="both"/>
        <w:rPr>
          <w:b/>
          <w:bCs/>
          <w:i/>
          <w:iCs/>
        </w:rPr>
      </w:pPr>
      <w:r w:rsidRPr="00AF7E92">
        <w:rPr>
          <w:b/>
          <w:bCs/>
          <w:i/>
          <w:iCs/>
        </w:rPr>
        <w:t>Žádáme zadavatele o vysvětlení a případné doplnění zadávací dokumentace.</w:t>
      </w:r>
    </w:p>
    <w:p w14:paraId="0753DA5F" w14:textId="77777777" w:rsidR="007C35BC" w:rsidRPr="009174E4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6ED18C6" w14:textId="5D55E341" w:rsidR="007C35BC" w:rsidRPr="00E573FB" w:rsidRDefault="005535C9" w:rsidP="007C35B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73FB">
        <w:rPr>
          <w:rFonts w:eastAsia="Calibri" w:cs="Times New Roman"/>
          <w:bCs/>
          <w:lang w:eastAsia="cs-CZ"/>
        </w:rPr>
        <w:t xml:space="preserve">Do soupisu prací SO-12-10-01 Přibyslav – Pohled, železniční svršek </w:t>
      </w:r>
      <w:r w:rsidR="00D21361" w:rsidRPr="00E573FB">
        <w:rPr>
          <w:rFonts w:eastAsia="Calibri" w:cs="Times New Roman"/>
          <w:bCs/>
          <w:lang w:eastAsia="cs-CZ"/>
        </w:rPr>
        <w:t>je nyní</w:t>
      </w:r>
      <w:r w:rsidRPr="00E573FB">
        <w:rPr>
          <w:rFonts w:eastAsia="Calibri" w:cs="Times New Roman"/>
          <w:bCs/>
          <w:lang w:eastAsia="cs-CZ"/>
        </w:rPr>
        <w:t xml:space="preserve"> doplněna položka </w:t>
      </w:r>
      <w:r w:rsidR="007D4A63" w:rsidRPr="00E573FB">
        <w:rPr>
          <w:rFonts w:eastAsia="Calibri" w:cs="Times New Roman"/>
          <w:bCs/>
          <w:lang w:eastAsia="cs-CZ"/>
        </w:rPr>
        <w:br/>
      </w:r>
      <w:r w:rsidRPr="00E573FB">
        <w:rPr>
          <w:rFonts w:eastAsia="Calibri" w:cs="Times New Roman"/>
          <w:bCs/>
          <w:lang w:eastAsia="cs-CZ"/>
        </w:rPr>
        <w:t>č. 27 NÁSLEDNÁ ÚPRAVA SMĚROVÉHO A VÝŠKOVÉHO USPOŘÁDÁNÍ KOLEJE – PRAŽCE BETONOVÉ</w:t>
      </w:r>
      <w:r w:rsidR="00761AD2" w:rsidRPr="00E573FB">
        <w:rPr>
          <w:rFonts w:eastAsia="Calibri" w:cs="Times New Roman"/>
          <w:bCs/>
          <w:lang w:eastAsia="cs-CZ"/>
        </w:rPr>
        <w:t xml:space="preserve"> o délce 12 611,371 m. </w:t>
      </w:r>
    </w:p>
    <w:p w14:paraId="54C6DC53" w14:textId="77777777" w:rsidR="007C35BC" w:rsidRDefault="007C35BC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C3EB8BD" w14:textId="77777777" w:rsidR="007D4A63" w:rsidRDefault="007D4A63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C0EA391" w14:textId="3ED19FC1" w:rsidR="00DE1022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239</w:t>
      </w:r>
      <w:r w:rsidRPr="00BD5319">
        <w:rPr>
          <w:rFonts w:eastAsia="Calibri" w:cs="Times New Roman"/>
          <w:b/>
          <w:lang w:eastAsia="cs-CZ"/>
        </w:rPr>
        <w:t>:</w:t>
      </w:r>
    </w:p>
    <w:p w14:paraId="12009E2D" w14:textId="16B188F4" w:rsidR="00DE1022" w:rsidRPr="007C35BC" w:rsidRDefault="00DE1022" w:rsidP="00DE1022">
      <w:pPr>
        <w:spacing w:after="0" w:line="240" w:lineRule="auto"/>
        <w:jc w:val="both"/>
        <w:rPr>
          <w:rFonts w:cs="Arial"/>
          <w:b/>
          <w:i/>
          <w:iCs/>
          <w:color w:val="000000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SO12-10-01: prosíme o konkrétní specifikaci bouracích prací, které reprezentuje pol.č.21 a vysvětlení výpočtu její výměry. Neměla by tato položka být spíše součástí železničního spodku?</w:t>
      </w:r>
    </w:p>
    <w:p w14:paraId="3CC0CDDC" w14:textId="77777777" w:rsidR="00DE1022" w:rsidRPr="009174E4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BA63C86" w14:textId="6D422384" w:rsidR="00DE1022" w:rsidRPr="00E573FB" w:rsidRDefault="00B470EF" w:rsidP="00DE1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73FB">
        <w:rPr>
          <w:rFonts w:eastAsia="Calibri" w:cs="Times New Roman"/>
          <w:bCs/>
          <w:lang w:eastAsia="cs-CZ"/>
        </w:rPr>
        <w:t xml:space="preserve">Po prověření jsou aktuálně v soupise prací provedeny následující úpravy: </w:t>
      </w:r>
      <w:r w:rsidR="004C4203" w:rsidRPr="00E573FB">
        <w:rPr>
          <w:rFonts w:eastAsia="Calibri" w:cs="Times New Roman"/>
          <w:bCs/>
          <w:lang w:eastAsia="cs-CZ"/>
        </w:rPr>
        <w:t xml:space="preserve">Položky č. 21 BOURÁNÍ KONSTRUKCÍ Z BETON DÍLCŮ – BEZ DOPRAVY a č. 22 BOURÁNÍ KONSTRUKCÍ Z BETONOVÝCH DÍLCŮ – DOPRAVA byly odebrány ze soupisu prací SO 12-10-01 a přesunuty do soupisu prací </w:t>
      </w:r>
      <w:r w:rsidR="007D4A63" w:rsidRPr="00E573FB">
        <w:rPr>
          <w:rFonts w:eastAsia="Calibri" w:cs="Times New Roman"/>
          <w:bCs/>
          <w:lang w:eastAsia="cs-CZ"/>
        </w:rPr>
        <w:br/>
      </w:r>
      <w:r w:rsidR="004C4203" w:rsidRPr="00E573FB">
        <w:rPr>
          <w:rFonts w:eastAsia="Calibri" w:cs="Times New Roman"/>
          <w:bCs/>
          <w:lang w:eastAsia="cs-CZ"/>
        </w:rPr>
        <w:t xml:space="preserve">SO 12-11-01 jako položky č. 44 a 45. </w:t>
      </w:r>
      <w:r w:rsidR="00565757" w:rsidRPr="00E573FB">
        <w:rPr>
          <w:rFonts w:eastAsia="Calibri" w:cs="Times New Roman"/>
          <w:bCs/>
          <w:lang w:eastAsia="cs-CZ"/>
        </w:rPr>
        <w:t>Do položky č. 44 byla přidána specifikace položky: drobné demolice, vypočteno plocha v řezu krát délka; odvodňovací tvárnice, betonové patky návěstí, betonové zbytky kolem trati.</w:t>
      </w:r>
    </w:p>
    <w:p w14:paraId="3ACF6B8A" w14:textId="77777777" w:rsidR="007C35BC" w:rsidRDefault="007C35BC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1A94E23" w14:textId="77777777" w:rsidR="007C35BC" w:rsidRPr="00343B92" w:rsidRDefault="007C35BC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153EDCF" w14:textId="77777777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1FE2673" w14:textId="77777777" w:rsidR="00D3239F" w:rsidRPr="00D3239F" w:rsidRDefault="00D3239F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262172A8" w14:textId="6B9AC06F" w:rsidR="00243F03" w:rsidRPr="00D3239F" w:rsidRDefault="00243F03" w:rsidP="00243F0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D3239F">
        <w:rPr>
          <w:rFonts w:eastAsia="Times New Roman" w:cs="Times New Roman"/>
          <w:b/>
          <w:bCs/>
          <w:lang w:eastAsia="cs-CZ"/>
        </w:rPr>
        <w:t xml:space="preserve">Zadavatel </w:t>
      </w:r>
      <w:r w:rsidRPr="00D3239F">
        <w:rPr>
          <w:rFonts w:eastAsia="Calibri" w:cs="Times New Roman"/>
          <w:b/>
          <w:bCs/>
          <w:lang w:eastAsia="cs-CZ"/>
        </w:rPr>
        <w:t>tímto podává vysvětlení/ změnu/ doplnění zadávací dokumentace k výše uvedené veřejné zakázce</w:t>
      </w:r>
      <w:r w:rsidRPr="00D3239F">
        <w:rPr>
          <w:rFonts w:eastAsia="Times New Roman" w:cs="Times New Roman"/>
          <w:b/>
          <w:bCs/>
          <w:lang w:eastAsia="cs-CZ"/>
        </w:rPr>
        <w:t xml:space="preserve"> </w:t>
      </w:r>
      <w:r w:rsidR="00D01FF8" w:rsidRPr="00D3239F">
        <w:rPr>
          <w:rFonts w:eastAsia="Calibri" w:cs="Times New Roman"/>
          <w:b/>
          <w:bCs/>
          <w:lang w:eastAsia="cs-CZ"/>
        </w:rPr>
        <w:t>bez předchozí žádosti:</w:t>
      </w:r>
    </w:p>
    <w:p w14:paraId="5FF78C25" w14:textId="174614A4" w:rsidR="00D01FF8" w:rsidRPr="00D3239F" w:rsidRDefault="00F96A29" w:rsidP="00D01FF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3239F">
        <w:rPr>
          <w:rFonts w:eastAsia="Times New Roman" w:cs="Times New Roman"/>
          <w:lang w:eastAsia="cs-CZ"/>
        </w:rPr>
        <w:t>V návaznosti na poskytnutou odpověď k dotazu č. 167</w:t>
      </w:r>
      <w:r w:rsidR="00E573FB" w:rsidRPr="00D3239F">
        <w:rPr>
          <w:rFonts w:eastAsia="Times New Roman" w:cs="Times New Roman"/>
          <w:lang w:eastAsia="cs-CZ"/>
        </w:rPr>
        <w:t xml:space="preserve"> ve </w:t>
      </w:r>
      <w:r w:rsidR="00E573FB" w:rsidRPr="00D3239F">
        <w:rPr>
          <w:rFonts w:eastAsia="Calibri" w:cs="Times New Roman"/>
          <w:lang w:eastAsia="cs-CZ"/>
        </w:rPr>
        <w:t>Vysvětlení/ změna/ doplnění zadávací dokumentace č. 5 ze dne 11. 5. 2023 zadavatel po prověření poskytnutých podkladů upřesňuje následující:</w:t>
      </w:r>
    </w:p>
    <w:p w14:paraId="24034030" w14:textId="5698426E" w:rsidR="003C7506" w:rsidRPr="00D3239F" w:rsidRDefault="003C7506" w:rsidP="003C75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3239F">
        <w:rPr>
          <w:rFonts w:eastAsia="Calibri" w:cs="Times New Roman"/>
          <w:b/>
          <w:lang w:eastAsia="cs-CZ"/>
        </w:rPr>
        <w:t>K SO</w:t>
      </w:r>
      <w:r w:rsidRPr="00D3239F">
        <w:rPr>
          <w:rFonts w:eastAsia="Calibri" w:cs="Times New Roman"/>
          <w:bCs/>
          <w:lang w:eastAsia="cs-CZ"/>
        </w:rPr>
        <w:t xml:space="preserve"> </w:t>
      </w:r>
      <w:r w:rsidRPr="00D3239F">
        <w:rPr>
          <w:rFonts w:eastAsia="Calibri" w:cs="Times New Roman"/>
          <w:b/>
          <w:bCs/>
          <w:lang w:eastAsia="cs-CZ"/>
        </w:rPr>
        <w:t xml:space="preserve">12-20-01, Železniční most v ev. km 104,357 </w:t>
      </w:r>
      <w:r w:rsidRPr="00D3239F">
        <w:rPr>
          <w:rFonts w:eastAsia="Calibri" w:cs="Times New Roman"/>
          <w:lang w:eastAsia="cs-CZ"/>
        </w:rPr>
        <w:t>(k odpovědi na dotaz č. 167):</w:t>
      </w:r>
    </w:p>
    <w:p w14:paraId="1F65E913" w14:textId="772C84A8" w:rsidR="003C7506" w:rsidRPr="00D3239F" w:rsidRDefault="00D01FF8" w:rsidP="009264B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Style w:val="ui-provider"/>
          <w:rFonts w:eastAsia="Calibri" w:cs="Times New Roman"/>
          <w:bCs/>
          <w:lang w:eastAsia="cs-CZ"/>
        </w:rPr>
      </w:pPr>
      <w:r w:rsidRPr="00D3239F">
        <w:rPr>
          <w:rStyle w:val="ui-provider"/>
        </w:rPr>
        <w:t>V dané lokalitě se nachází nadzemní vedení VN ve správě ČEZ Distribuce, vedené souběžně s tratí ve vzdálenosti cca 19 m od osy koleje č.1. Kolize příhradového stožáru u přibyslavské opěry s uvažovaným jeřábem pro demolici a montáž bude řešena posunutím stožáru VN cca o 10 m ve směru od řeky (na Přibyslav)</w:t>
      </w:r>
      <w:r w:rsidR="008C4471" w:rsidRPr="00D3239F">
        <w:rPr>
          <w:rStyle w:val="ui-provider"/>
        </w:rPr>
        <w:t xml:space="preserve">. Technické možnosti realizace byly projednány se správcem sítě VN. </w:t>
      </w:r>
      <w:r w:rsidRPr="00D3239F">
        <w:rPr>
          <w:rStyle w:val="ui-provider"/>
        </w:rPr>
        <w:t xml:space="preserve"> Posunutí bude řešeno v rámci přeložky VN v režii zhotovitele. Podrobný popis je uveden </w:t>
      </w:r>
      <w:r w:rsidR="003C7506" w:rsidRPr="00D3239F">
        <w:rPr>
          <w:rStyle w:val="ui-provider"/>
        </w:rPr>
        <w:t xml:space="preserve">přiložené </w:t>
      </w:r>
      <w:r w:rsidRPr="00D3239F">
        <w:rPr>
          <w:rStyle w:val="ui-provider"/>
        </w:rPr>
        <w:t xml:space="preserve">TZ. </w:t>
      </w:r>
      <w:r w:rsidR="0004752E" w:rsidRPr="00D3239F">
        <w:rPr>
          <w:rStyle w:val="ui-provider"/>
        </w:rPr>
        <w:t>Aktuálně o</w:t>
      </w:r>
      <w:r w:rsidRPr="00D3239F">
        <w:rPr>
          <w:rStyle w:val="ui-provider"/>
        </w:rPr>
        <w:t>pravené přílohy:</w:t>
      </w:r>
    </w:p>
    <w:p w14:paraId="0B356D23" w14:textId="34F7415D" w:rsidR="003C7506" w:rsidRPr="00D3239F" w:rsidRDefault="00D01FF8" w:rsidP="003C7506">
      <w:pPr>
        <w:pStyle w:val="Odstavecseseznamem"/>
        <w:numPr>
          <w:ilvl w:val="0"/>
          <w:numId w:val="32"/>
        </w:numPr>
        <w:spacing w:after="0" w:line="240" w:lineRule="auto"/>
        <w:ind w:firstLine="131"/>
        <w:jc w:val="both"/>
        <w:rPr>
          <w:rStyle w:val="ui-provider"/>
          <w:rFonts w:eastAsia="Calibri" w:cs="Times New Roman"/>
          <w:bCs/>
          <w:lang w:eastAsia="cs-CZ"/>
        </w:rPr>
      </w:pPr>
      <w:r w:rsidRPr="00D3239F">
        <w:rPr>
          <w:rStyle w:val="ui-provider"/>
        </w:rPr>
        <w:t>soupis prací</w:t>
      </w:r>
      <w:r w:rsidR="00F84639" w:rsidRPr="00D3239F">
        <w:rPr>
          <w:rStyle w:val="ui-provider"/>
        </w:rPr>
        <w:t xml:space="preserve"> </w:t>
      </w:r>
    </w:p>
    <w:p w14:paraId="53C66C76" w14:textId="01EA0E5B" w:rsidR="00D01FF8" w:rsidRPr="00D3239F" w:rsidRDefault="00D01FF8" w:rsidP="003C7506">
      <w:pPr>
        <w:pStyle w:val="Odstavecseseznamem"/>
        <w:numPr>
          <w:ilvl w:val="0"/>
          <w:numId w:val="32"/>
        </w:numPr>
        <w:spacing w:after="0" w:line="240" w:lineRule="auto"/>
        <w:ind w:firstLine="131"/>
        <w:jc w:val="both"/>
        <w:rPr>
          <w:rStyle w:val="ui-provider"/>
          <w:rFonts w:eastAsia="Calibri" w:cs="Times New Roman"/>
          <w:bCs/>
          <w:lang w:eastAsia="cs-CZ"/>
        </w:rPr>
      </w:pPr>
      <w:r w:rsidRPr="00D3239F">
        <w:rPr>
          <w:rStyle w:val="ui-provider"/>
        </w:rPr>
        <w:t>TZ s novými přílohami nájezdových plošin a popisem opatření</w:t>
      </w:r>
    </w:p>
    <w:p w14:paraId="2D524F90" w14:textId="77777777" w:rsidR="003C7506" w:rsidRPr="003C7506" w:rsidRDefault="003C7506" w:rsidP="00F84639">
      <w:pPr>
        <w:pStyle w:val="Odstavecseseznamem"/>
        <w:spacing w:after="0" w:line="240" w:lineRule="auto"/>
        <w:ind w:left="851"/>
        <w:jc w:val="both"/>
        <w:rPr>
          <w:rFonts w:eastAsia="Calibri" w:cs="Times New Roman"/>
          <w:bCs/>
          <w:color w:val="FF0000"/>
          <w:lang w:eastAsia="cs-CZ"/>
        </w:rPr>
      </w:pPr>
    </w:p>
    <w:p w14:paraId="01248F40" w14:textId="77777777" w:rsidR="00D01FF8" w:rsidRPr="00BD5319" w:rsidRDefault="00D01FF8" w:rsidP="00243F0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6F3CA5F" w14:textId="77777777" w:rsidR="00243F03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A78132" w14:textId="77777777" w:rsidR="00243F03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6214171B" w14:textId="77777777" w:rsidR="00243F03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C74CA3" w14:textId="77777777" w:rsidR="00243F03" w:rsidRPr="00396E8C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3D3DD48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DD0BB8" w14:textId="77777777" w:rsidR="00243F03" w:rsidRPr="00BD5319" w:rsidRDefault="00243F03" w:rsidP="00243F0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8174F5C" w14:textId="7B35B6FE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D5319">
        <w:rPr>
          <w:rFonts w:eastAsia="Times New Roman" w:cs="Times New Roman"/>
          <w:b/>
          <w:color w:val="FF0000"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7D4A63">
        <w:rPr>
          <w:rFonts w:eastAsia="Times New Roman" w:cs="Times New Roman"/>
          <w:lang w:eastAsia="cs-CZ"/>
        </w:rPr>
        <w:t>5.10.2023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7D4A63">
        <w:rPr>
          <w:rFonts w:eastAsia="Times New Roman" w:cs="Times New Roman"/>
          <w:lang w:eastAsia="cs-CZ"/>
        </w:rPr>
        <w:t>9. 10. 2023</w:t>
      </w:r>
      <w:r w:rsidRPr="00BD5319">
        <w:rPr>
          <w:rFonts w:eastAsia="Times New Roman" w:cs="Times New Roman"/>
          <w:lang w:eastAsia="cs-CZ"/>
        </w:rPr>
        <w:t>.</w:t>
      </w:r>
    </w:p>
    <w:p w14:paraId="714C5B21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50F19C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</w:t>
      </w:r>
      <w:r w:rsidRPr="00BD5319">
        <w:rPr>
          <w:rFonts w:eastAsia="Times New Roman" w:cs="Times New Roman"/>
          <w:lang w:eastAsia="cs-CZ"/>
        </w:rPr>
        <w:lastRenderedPageBreak/>
        <w:t xml:space="preserve">bude uveřejněn na webovém portálu </w:t>
      </w:r>
      <w:hyperlink r:id="rId14" w:history="1">
        <w:hyperlink r:id="rId15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AB7FF6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2558C946" w14:textId="64F566E9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7D4A63" w:rsidRPr="007D4A63">
        <w:rPr>
          <w:rFonts w:eastAsia="Times New Roman" w:cs="Times New Roman"/>
          <w:lang w:eastAsia="cs-CZ"/>
        </w:rPr>
        <w:t>9. 10. 2023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A2E5227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66A0A062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7D4A63" w:rsidRPr="007D4A63">
        <w:rPr>
          <w:rFonts w:eastAsia="Times New Roman" w:cs="Times New Roman"/>
          <w:lang w:eastAsia="cs-CZ"/>
        </w:rPr>
        <w:t>9. 10. 2023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243F0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77777777" w:rsidR="00243F03" w:rsidRPr="006C70EE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C70EE">
        <w:rPr>
          <w:rFonts w:eastAsia="Calibri" w:cs="Times New Roman"/>
          <w:b/>
          <w:bCs/>
          <w:lang w:eastAsia="cs-CZ"/>
        </w:rPr>
        <w:t xml:space="preserve">Příloha: </w:t>
      </w:r>
      <w:r w:rsidRPr="006C70EE">
        <w:rPr>
          <w:rFonts w:eastAsia="Calibri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C70EE">
        <w:rPr>
          <w:rFonts w:eastAsia="Calibri" w:cs="Times New Roman"/>
          <w:lang w:eastAsia="cs-CZ"/>
        </w:rPr>
        <w:instrText xml:space="preserve"> FORMTEXT </w:instrText>
      </w:r>
      <w:r w:rsidRPr="006C70EE">
        <w:rPr>
          <w:rFonts w:eastAsia="Calibri" w:cs="Times New Roman"/>
          <w:lang w:eastAsia="cs-CZ"/>
        </w:rPr>
      </w:r>
      <w:r w:rsidRPr="006C70EE">
        <w:rPr>
          <w:rFonts w:eastAsia="Calibri" w:cs="Times New Roman"/>
          <w:lang w:eastAsia="cs-CZ"/>
        </w:rPr>
        <w:fldChar w:fldCharType="separate"/>
      </w:r>
      <w:r w:rsidRPr="006C70EE">
        <w:rPr>
          <w:rFonts w:eastAsia="Calibri" w:cs="Times New Roman"/>
          <w:lang w:eastAsia="cs-CZ"/>
        </w:rPr>
        <w:t> </w:t>
      </w:r>
      <w:r w:rsidRPr="006C70EE">
        <w:rPr>
          <w:rFonts w:eastAsia="Calibri" w:cs="Times New Roman"/>
          <w:lang w:eastAsia="cs-CZ"/>
        </w:rPr>
        <w:t> </w:t>
      </w:r>
      <w:r w:rsidRPr="006C70EE">
        <w:rPr>
          <w:rFonts w:eastAsia="Calibri" w:cs="Times New Roman"/>
          <w:lang w:eastAsia="cs-CZ"/>
        </w:rPr>
        <w:t> </w:t>
      </w:r>
      <w:r w:rsidRPr="006C70EE">
        <w:rPr>
          <w:rFonts w:eastAsia="Calibri" w:cs="Times New Roman"/>
          <w:lang w:eastAsia="cs-CZ"/>
        </w:rPr>
        <w:t> </w:t>
      </w:r>
      <w:r w:rsidRPr="006C70EE">
        <w:rPr>
          <w:rFonts w:eastAsia="Calibri" w:cs="Times New Roman"/>
          <w:lang w:eastAsia="cs-CZ"/>
        </w:rPr>
        <w:t> </w:t>
      </w:r>
      <w:r w:rsidRPr="006C70EE">
        <w:rPr>
          <w:rFonts w:eastAsia="Calibri" w:cs="Times New Roman"/>
          <w:lang w:eastAsia="cs-CZ"/>
        </w:rPr>
        <w:fldChar w:fldCharType="end"/>
      </w:r>
    </w:p>
    <w:p w14:paraId="3F975B13" w14:textId="77777777" w:rsidR="006C70EE" w:rsidRPr="006C70EE" w:rsidRDefault="006C70EE" w:rsidP="006C70E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70EE">
        <w:rPr>
          <w:rFonts w:eastAsia="Calibri" w:cs="Times New Roman"/>
          <w:lang w:eastAsia="cs-CZ"/>
        </w:rPr>
        <w:t>SO_12-10-01, SO 12_11-01 (2 přílohy)</w:t>
      </w:r>
    </w:p>
    <w:p w14:paraId="2C8DAE69" w14:textId="77777777" w:rsidR="006C70EE" w:rsidRPr="006C70EE" w:rsidRDefault="006C70EE" w:rsidP="006C70E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70EE">
        <w:rPr>
          <w:rFonts w:eastAsia="Calibri" w:cs="Times New Roman"/>
          <w:lang w:eastAsia="cs-CZ"/>
        </w:rPr>
        <w:t>SO_12-10-01, SO 12_11-01 (4 přílohy)</w:t>
      </w:r>
    </w:p>
    <w:p w14:paraId="5268C910" w14:textId="77777777" w:rsidR="006C70EE" w:rsidRPr="006C70EE" w:rsidRDefault="006C70EE" w:rsidP="006C70E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70EE">
        <w:rPr>
          <w:rFonts w:eastAsia="Calibri" w:cs="Times New Roman"/>
          <w:lang w:eastAsia="cs-CZ"/>
        </w:rPr>
        <w:t>XDC_Pribyslav_Pohled_zm07-20230914xml</w:t>
      </w:r>
    </w:p>
    <w:p w14:paraId="18F63944" w14:textId="77777777" w:rsidR="006C70EE" w:rsidRPr="006C70EE" w:rsidRDefault="006C70EE" w:rsidP="006C70E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70EE">
        <w:rPr>
          <w:rFonts w:eastAsia="Calibri" w:cs="Times New Roman"/>
          <w:lang w:eastAsia="cs-CZ"/>
        </w:rPr>
        <w:t>XLS_Pribyslav_Pohled_zm07-20230914.xlsx</w:t>
      </w: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77D3A6" w14:textId="77777777" w:rsidR="006C70EE" w:rsidRDefault="006C70E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662A57" w14:textId="77777777" w:rsidR="006C70EE" w:rsidRDefault="006C70E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205E3C" w14:textId="77777777" w:rsidR="006C70EE" w:rsidRDefault="006C70E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B39B02" w14:textId="77777777" w:rsidR="006C70EE" w:rsidRPr="00BD5319" w:rsidRDefault="006C70E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D060A4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BC61300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9F3F2" w14:textId="77777777" w:rsidR="00A963C9" w:rsidRDefault="00A963C9" w:rsidP="00962258">
      <w:pPr>
        <w:spacing w:after="0" w:line="240" w:lineRule="auto"/>
      </w:pPr>
      <w:r>
        <w:separator/>
      </w:r>
    </w:p>
  </w:endnote>
  <w:endnote w:type="continuationSeparator" w:id="0">
    <w:p w14:paraId="5E03B471" w14:textId="77777777" w:rsidR="00A963C9" w:rsidRDefault="00A963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68AE528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6A2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6A2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4DE6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AD4B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75D9E3B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6A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6A2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B259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840F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08665" w14:textId="77777777" w:rsidR="00A963C9" w:rsidRDefault="00A963C9" w:rsidP="00962258">
      <w:pPr>
        <w:spacing w:after="0" w:line="240" w:lineRule="auto"/>
      </w:pPr>
      <w:r>
        <w:separator/>
      </w:r>
    </w:p>
  </w:footnote>
  <w:footnote w:type="continuationSeparator" w:id="0">
    <w:p w14:paraId="55A4DE51" w14:textId="77777777" w:rsidR="00A963C9" w:rsidRDefault="00A963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8EF203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5FF7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670"/>
    <w:multiLevelType w:val="hybridMultilevel"/>
    <w:tmpl w:val="0EBA61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A362BF"/>
    <w:multiLevelType w:val="hybridMultilevel"/>
    <w:tmpl w:val="229C4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806404">
    <w:abstractNumId w:val="6"/>
  </w:num>
  <w:num w:numId="2" w16cid:durableId="302126529">
    <w:abstractNumId w:val="1"/>
  </w:num>
  <w:num w:numId="3" w16cid:durableId="178080626">
    <w:abstractNumId w:val="13"/>
  </w:num>
  <w:num w:numId="4" w16cid:durableId="1074858793">
    <w:abstractNumId w:val="26"/>
  </w:num>
  <w:num w:numId="5" w16cid:durableId="98726199">
    <w:abstractNumId w:val="0"/>
  </w:num>
  <w:num w:numId="6" w16cid:durableId="562103237">
    <w:abstractNumId w:val="15"/>
  </w:num>
  <w:num w:numId="7" w16cid:durableId="1474132714">
    <w:abstractNumId w:val="19"/>
  </w:num>
  <w:num w:numId="8" w16cid:durableId="1873692734">
    <w:abstractNumId w:val="9"/>
  </w:num>
  <w:num w:numId="9" w16cid:durableId="2115661065">
    <w:abstractNumId w:val="8"/>
  </w:num>
  <w:num w:numId="10" w16cid:durableId="2024088590">
    <w:abstractNumId w:val="9"/>
  </w:num>
  <w:num w:numId="11" w16cid:durableId="1588538856">
    <w:abstractNumId w:val="25"/>
  </w:num>
  <w:num w:numId="12" w16cid:durableId="1017924395">
    <w:abstractNumId w:val="16"/>
  </w:num>
  <w:num w:numId="13" w16cid:durableId="1888831523">
    <w:abstractNumId w:val="18"/>
  </w:num>
  <w:num w:numId="14" w16cid:durableId="283393741">
    <w:abstractNumId w:val="28"/>
  </w:num>
  <w:num w:numId="15" w16cid:durableId="1876037194">
    <w:abstractNumId w:val="27"/>
  </w:num>
  <w:num w:numId="16" w16cid:durableId="2129741481">
    <w:abstractNumId w:val="10"/>
  </w:num>
  <w:num w:numId="17" w16cid:durableId="201674625">
    <w:abstractNumId w:val="23"/>
  </w:num>
  <w:num w:numId="18" w16cid:durableId="1464424433">
    <w:abstractNumId w:val="5"/>
  </w:num>
  <w:num w:numId="19" w16cid:durableId="1684429229">
    <w:abstractNumId w:val="11"/>
  </w:num>
  <w:num w:numId="20" w16cid:durableId="1064137012">
    <w:abstractNumId w:val="12"/>
  </w:num>
  <w:num w:numId="21" w16cid:durableId="260651267">
    <w:abstractNumId w:val="21"/>
  </w:num>
  <w:num w:numId="22" w16cid:durableId="1124883954">
    <w:abstractNumId w:val="20"/>
  </w:num>
  <w:num w:numId="23" w16cid:durableId="1422288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9422300">
    <w:abstractNumId w:val="29"/>
  </w:num>
  <w:num w:numId="25" w16cid:durableId="1420833617">
    <w:abstractNumId w:val="2"/>
  </w:num>
  <w:num w:numId="26" w16cid:durableId="1926068775">
    <w:abstractNumId w:val="24"/>
  </w:num>
  <w:num w:numId="27" w16cid:durableId="1673097284">
    <w:abstractNumId w:val="22"/>
  </w:num>
  <w:num w:numId="28" w16cid:durableId="476337610">
    <w:abstractNumId w:val="4"/>
  </w:num>
  <w:num w:numId="29" w16cid:durableId="688989549">
    <w:abstractNumId w:val="17"/>
  </w:num>
  <w:num w:numId="30" w16cid:durableId="176888407">
    <w:abstractNumId w:val="14"/>
  </w:num>
  <w:num w:numId="31" w16cid:durableId="815998403">
    <w:abstractNumId w:val="3"/>
  </w:num>
  <w:num w:numId="32" w16cid:durableId="69561775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4231"/>
    <w:rsid w:val="0004752E"/>
    <w:rsid w:val="00050D2C"/>
    <w:rsid w:val="00060B30"/>
    <w:rsid w:val="00072C1E"/>
    <w:rsid w:val="00073A8A"/>
    <w:rsid w:val="00094774"/>
    <w:rsid w:val="000B3A82"/>
    <w:rsid w:val="000B5F46"/>
    <w:rsid w:val="000B6C7E"/>
    <w:rsid w:val="000B7907"/>
    <w:rsid w:val="000C0429"/>
    <w:rsid w:val="000C1AC6"/>
    <w:rsid w:val="000C45E8"/>
    <w:rsid w:val="000C6C5A"/>
    <w:rsid w:val="000E0433"/>
    <w:rsid w:val="000E6AB7"/>
    <w:rsid w:val="0010266D"/>
    <w:rsid w:val="00113BE0"/>
    <w:rsid w:val="00114472"/>
    <w:rsid w:val="001374A3"/>
    <w:rsid w:val="001477EB"/>
    <w:rsid w:val="00151C84"/>
    <w:rsid w:val="00152D8A"/>
    <w:rsid w:val="00170EC5"/>
    <w:rsid w:val="001747C1"/>
    <w:rsid w:val="0018596A"/>
    <w:rsid w:val="001B69C2"/>
    <w:rsid w:val="001B7207"/>
    <w:rsid w:val="001C2535"/>
    <w:rsid w:val="001C4DA0"/>
    <w:rsid w:val="001D1BC2"/>
    <w:rsid w:val="001D6004"/>
    <w:rsid w:val="001F735C"/>
    <w:rsid w:val="00203EFB"/>
    <w:rsid w:val="0020534F"/>
    <w:rsid w:val="00207DF5"/>
    <w:rsid w:val="002131FE"/>
    <w:rsid w:val="00226736"/>
    <w:rsid w:val="00243F03"/>
    <w:rsid w:val="00267369"/>
    <w:rsid w:val="0026785D"/>
    <w:rsid w:val="002B09DF"/>
    <w:rsid w:val="002B1747"/>
    <w:rsid w:val="002C31BF"/>
    <w:rsid w:val="002E0CD7"/>
    <w:rsid w:val="002F026B"/>
    <w:rsid w:val="00343B92"/>
    <w:rsid w:val="00357BC6"/>
    <w:rsid w:val="0036575C"/>
    <w:rsid w:val="0037111D"/>
    <w:rsid w:val="00374650"/>
    <w:rsid w:val="003756B9"/>
    <w:rsid w:val="00382351"/>
    <w:rsid w:val="003956C6"/>
    <w:rsid w:val="003C7506"/>
    <w:rsid w:val="003E6B9A"/>
    <w:rsid w:val="003E75CE"/>
    <w:rsid w:val="003F0BCD"/>
    <w:rsid w:val="00412437"/>
    <w:rsid w:val="0041380F"/>
    <w:rsid w:val="00427D32"/>
    <w:rsid w:val="00434450"/>
    <w:rsid w:val="00450F07"/>
    <w:rsid w:val="00450F83"/>
    <w:rsid w:val="00453CD3"/>
    <w:rsid w:val="00455BC7"/>
    <w:rsid w:val="00460660"/>
    <w:rsid w:val="00460CCB"/>
    <w:rsid w:val="00477370"/>
    <w:rsid w:val="00484581"/>
    <w:rsid w:val="00486107"/>
    <w:rsid w:val="00491827"/>
    <w:rsid w:val="004926B0"/>
    <w:rsid w:val="0049790F"/>
    <w:rsid w:val="004A7C69"/>
    <w:rsid w:val="004C35D9"/>
    <w:rsid w:val="004C4203"/>
    <w:rsid w:val="004C4399"/>
    <w:rsid w:val="004C69ED"/>
    <w:rsid w:val="004C787C"/>
    <w:rsid w:val="004D1BEB"/>
    <w:rsid w:val="004D6088"/>
    <w:rsid w:val="004E15C7"/>
    <w:rsid w:val="004F4B9B"/>
    <w:rsid w:val="00501654"/>
    <w:rsid w:val="00511AB9"/>
    <w:rsid w:val="00523EA7"/>
    <w:rsid w:val="005316F4"/>
    <w:rsid w:val="0053751D"/>
    <w:rsid w:val="00542527"/>
    <w:rsid w:val="00547EE5"/>
    <w:rsid w:val="00551D1F"/>
    <w:rsid w:val="00553375"/>
    <w:rsid w:val="005535C9"/>
    <w:rsid w:val="00561116"/>
    <w:rsid w:val="00565757"/>
    <w:rsid w:val="005658A6"/>
    <w:rsid w:val="005712FC"/>
    <w:rsid w:val="005720E7"/>
    <w:rsid w:val="005722BB"/>
    <w:rsid w:val="005736B7"/>
    <w:rsid w:val="00575E5A"/>
    <w:rsid w:val="00584E2A"/>
    <w:rsid w:val="00596C7E"/>
    <w:rsid w:val="005A35A2"/>
    <w:rsid w:val="005A5F24"/>
    <w:rsid w:val="005A64E9"/>
    <w:rsid w:val="005B5EE9"/>
    <w:rsid w:val="005D3896"/>
    <w:rsid w:val="006104F6"/>
    <w:rsid w:val="0061068E"/>
    <w:rsid w:val="00612BBE"/>
    <w:rsid w:val="006357B2"/>
    <w:rsid w:val="006362AC"/>
    <w:rsid w:val="00654831"/>
    <w:rsid w:val="00660AD3"/>
    <w:rsid w:val="006A1264"/>
    <w:rsid w:val="006A5570"/>
    <w:rsid w:val="006A689C"/>
    <w:rsid w:val="006B3D79"/>
    <w:rsid w:val="006C70EE"/>
    <w:rsid w:val="006E0578"/>
    <w:rsid w:val="006E314D"/>
    <w:rsid w:val="006E7F06"/>
    <w:rsid w:val="00705E73"/>
    <w:rsid w:val="00710723"/>
    <w:rsid w:val="00712ED1"/>
    <w:rsid w:val="00721446"/>
    <w:rsid w:val="00723ED1"/>
    <w:rsid w:val="00726E42"/>
    <w:rsid w:val="00735ED4"/>
    <w:rsid w:val="00743525"/>
    <w:rsid w:val="00746F88"/>
    <w:rsid w:val="007531A0"/>
    <w:rsid w:val="00761AD2"/>
    <w:rsid w:val="0076286B"/>
    <w:rsid w:val="00764595"/>
    <w:rsid w:val="00766846"/>
    <w:rsid w:val="0077673A"/>
    <w:rsid w:val="007846E1"/>
    <w:rsid w:val="007A79C2"/>
    <w:rsid w:val="007B570C"/>
    <w:rsid w:val="007B7A7A"/>
    <w:rsid w:val="007C35BC"/>
    <w:rsid w:val="007D025E"/>
    <w:rsid w:val="007D41C7"/>
    <w:rsid w:val="007D4A63"/>
    <w:rsid w:val="007E45B2"/>
    <w:rsid w:val="007E4A6E"/>
    <w:rsid w:val="007E76CC"/>
    <w:rsid w:val="007F2676"/>
    <w:rsid w:val="007F56A7"/>
    <w:rsid w:val="007F7B67"/>
    <w:rsid w:val="00807DD0"/>
    <w:rsid w:val="00813F11"/>
    <w:rsid w:val="008166DF"/>
    <w:rsid w:val="008777CD"/>
    <w:rsid w:val="00891334"/>
    <w:rsid w:val="00893E4C"/>
    <w:rsid w:val="008A3568"/>
    <w:rsid w:val="008B7ED0"/>
    <w:rsid w:val="008C182B"/>
    <w:rsid w:val="008C4471"/>
    <w:rsid w:val="008D03B9"/>
    <w:rsid w:val="008F18D6"/>
    <w:rsid w:val="00904780"/>
    <w:rsid w:val="009079DF"/>
    <w:rsid w:val="009113A8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7568"/>
    <w:rsid w:val="009B0CFF"/>
    <w:rsid w:val="009B2E97"/>
    <w:rsid w:val="009B3C69"/>
    <w:rsid w:val="009B72CC"/>
    <w:rsid w:val="009C7D42"/>
    <w:rsid w:val="009E07F4"/>
    <w:rsid w:val="009E2D34"/>
    <w:rsid w:val="009F392E"/>
    <w:rsid w:val="009F4DE8"/>
    <w:rsid w:val="00A06B1E"/>
    <w:rsid w:val="00A24327"/>
    <w:rsid w:val="00A44328"/>
    <w:rsid w:val="00A6177B"/>
    <w:rsid w:val="00A66136"/>
    <w:rsid w:val="00A84F77"/>
    <w:rsid w:val="00A87DC7"/>
    <w:rsid w:val="00A963C9"/>
    <w:rsid w:val="00AA4CBB"/>
    <w:rsid w:val="00AA65FA"/>
    <w:rsid w:val="00AA7351"/>
    <w:rsid w:val="00AC7D25"/>
    <w:rsid w:val="00AD056F"/>
    <w:rsid w:val="00AD2773"/>
    <w:rsid w:val="00AD2BD9"/>
    <w:rsid w:val="00AD6731"/>
    <w:rsid w:val="00AE1DDE"/>
    <w:rsid w:val="00AF7E92"/>
    <w:rsid w:val="00B110F5"/>
    <w:rsid w:val="00B15B5E"/>
    <w:rsid w:val="00B15D0D"/>
    <w:rsid w:val="00B23CA3"/>
    <w:rsid w:val="00B32BE2"/>
    <w:rsid w:val="00B3491A"/>
    <w:rsid w:val="00B45E9E"/>
    <w:rsid w:val="00B470EF"/>
    <w:rsid w:val="00B54453"/>
    <w:rsid w:val="00B55F9C"/>
    <w:rsid w:val="00B75EE1"/>
    <w:rsid w:val="00B77481"/>
    <w:rsid w:val="00B81A3C"/>
    <w:rsid w:val="00B8518B"/>
    <w:rsid w:val="00B92B72"/>
    <w:rsid w:val="00B9569D"/>
    <w:rsid w:val="00BA6351"/>
    <w:rsid w:val="00BB206C"/>
    <w:rsid w:val="00BB3740"/>
    <w:rsid w:val="00BD5319"/>
    <w:rsid w:val="00BD67BE"/>
    <w:rsid w:val="00BD7E91"/>
    <w:rsid w:val="00BF374D"/>
    <w:rsid w:val="00BF6D48"/>
    <w:rsid w:val="00C02D0A"/>
    <w:rsid w:val="00C03A6E"/>
    <w:rsid w:val="00C30759"/>
    <w:rsid w:val="00C44F6A"/>
    <w:rsid w:val="00C727E5"/>
    <w:rsid w:val="00C74EDE"/>
    <w:rsid w:val="00C8207D"/>
    <w:rsid w:val="00C83ABB"/>
    <w:rsid w:val="00CA05E6"/>
    <w:rsid w:val="00CB0913"/>
    <w:rsid w:val="00CB76D2"/>
    <w:rsid w:val="00CB7B5A"/>
    <w:rsid w:val="00CC1E2B"/>
    <w:rsid w:val="00CD1FC4"/>
    <w:rsid w:val="00CE371D"/>
    <w:rsid w:val="00CF1155"/>
    <w:rsid w:val="00CF21F0"/>
    <w:rsid w:val="00D01FF8"/>
    <w:rsid w:val="00D02A4D"/>
    <w:rsid w:val="00D17667"/>
    <w:rsid w:val="00D21061"/>
    <w:rsid w:val="00D21361"/>
    <w:rsid w:val="00D316A7"/>
    <w:rsid w:val="00D3239F"/>
    <w:rsid w:val="00D4108E"/>
    <w:rsid w:val="00D6163D"/>
    <w:rsid w:val="00D63009"/>
    <w:rsid w:val="00D673FE"/>
    <w:rsid w:val="00D831A3"/>
    <w:rsid w:val="00D902AD"/>
    <w:rsid w:val="00D95C81"/>
    <w:rsid w:val="00DA3A29"/>
    <w:rsid w:val="00DA6D46"/>
    <w:rsid w:val="00DA6FFE"/>
    <w:rsid w:val="00DB253A"/>
    <w:rsid w:val="00DC3110"/>
    <w:rsid w:val="00DD46F3"/>
    <w:rsid w:val="00DD58A6"/>
    <w:rsid w:val="00DE1022"/>
    <w:rsid w:val="00DE56F2"/>
    <w:rsid w:val="00DF116D"/>
    <w:rsid w:val="00E10710"/>
    <w:rsid w:val="00E16839"/>
    <w:rsid w:val="00E33416"/>
    <w:rsid w:val="00E3517D"/>
    <w:rsid w:val="00E573FB"/>
    <w:rsid w:val="00E62C07"/>
    <w:rsid w:val="00E638C9"/>
    <w:rsid w:val="00E824F1"/>
    <w:rsid w:val="00EB104F"/>
    <w:rsid w:val="00ED14BD"/>
    <w:rsid w:val="00ED2EFE"/>
    <w:rsid w:val="00ED6C28"/>
    <w:rsid w:val="00EF133F"/>
    <w:rsid w:val="00EF67FC"/>
    <w:rsid w:val="00F007C8"/>
    <w:rsid w:val="00F01440"/>
    <w:rsid w:val="00F1131B"/>
    <w:rsid w:val="00F12DEC"/>
    <w:rsid w:val="00F1542C"/>
    <w:rsid w:val="00F1715C"/>
    <w:rsid w:val="00F310F8"/>
    <w:rsid w:val="00F35939"/>
    <w:rsid w:val="00F45607"/>
    <w:rsid w:val="00F64786"/>
    <w:rsid w:val="00F659EB"/>
    <w:rsid w:val="00F665D3"/>
    <w:rsid w:val="00F75500"/>
    <w:rsid w:val="00F804A7"/>
    <w:rsid w:val="00F84639"/>
    <w:rsid w:val="00F862D6"/>
    <w:rsid w:val="00F86BA6"/>
    <w:rsid w:val="00F96A2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Standardnpsmoodstavce"/>
    <w:rsid w:val="00D01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vz.nipez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estnikverejnychzakazek.cz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E72AC1-B18D-4F6A-9898-C9BAC33439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169</TotalTime>
  <Pages>4</Pages>
  <Words>1297</Words>
  <Characters>7655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19</cp:revision>
  <cp:lastPrinted>2023-09-06T12:50:00Z</cp:lastPrinted>
  <dcterms:created xsi:type="dcterms:W3CDTF">2023-09-13T05:45:00Z</dcterms:created>
  <dcterms:modified xsi:type="dcterms:W3CDTF">2023-09-14T04:54:00Z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